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80" w:lineRule="exact"/>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附件 1：</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参赛规则</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 xml:space="preserve">一、奖项具体评选办法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（一）决赛文字作品占 50%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职业生涯规划书：</w:t>
      </w:r>
      <w:r>
        <w:rPr>
          <w:rFonts w:hint="default" w:ascii="Times New Roman" w:hAnsi="Times New Roman" w:eastAsia="方正仿宋_GBK" w:cs="Times New Roman"/>
          <w:color w:val="000000"/>
          <w:kern w:val="0"/>
          <w:sz w:val="32"/>
          <w:szCs w:val="32"/>
          <w:lang w:val="en-US" w:eastAsia="zh-CN" w:bidi="ar"/>
        </w:rPr>
        <w:t xml:space="preserve">需有扉页，扉页填写参赛者的真实姓名、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性别、学校、院系、班级、联系电话以及指导教师的姓名、所在 院系（部门）、联系电话。作品内容完整，格式清晰，版面美观， 规划方案操作性强。正文部分不超过一万字。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生涯人物访谈报告：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由三部分组成，即背景介绍（包含受访人所在的单位简介、受访 人简介、参与人员、访问时间、地点、方式等基本信息）、访谈 记录、小结（包含撰稿人对访谈的感想和访谈内容的总结提炼）， 不超过 3000 字，随稿可附 1~2 张访谈照片。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（二）决赛现场陈述和问答环节占 50%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要求：通过职业规划书陈述、职业感悟陈述，表现参赛选手 的个人素质，突出实用性和可操作性；能准确领悟专家提问内容，全面、清晰作答。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（一）所有参赛作品概不退稿，请自行保留底稿。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（二）参赛者必须是参赛作品的原创作者，并保证其拥有该作品的合法著作权。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（四）所有获奖作品的著作权归</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所有，即每位参赛者在其作品被公布和被告知获奖的同时即被视为已明确同意大赛</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及其被许可人永久性地、免费地、以任何方式使用、任何媒体上使用、发表参赛作品。</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可以将所有入选作品汇集成册出版发行，参赛者不得有任何异议。任何机构与个人（包括获奖作品的作者）刊登、转载这些作品均需获得</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的书面许可。获奖作品的作者拥有该作品公开发表的署名权。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（五）所有参赛作品均不得涉及暴力、色情、非法宗教宣传等与国家相关法律、法规相抵触的内容。如遇此类投稿，</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有权自行决定对其采取不予评审、不予发表或删除等措施，情节严重者将提交司法机关处理。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（六）参赛者若违反本规则的任何条款，</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有权立即取消其参赛资格，或取消其已获得的奖项并要求退还奖励，同时保留进一步追究损害赔偿的权利。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（七）由于突发事件或其它</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无法控制的原因，影响大赛的管理、安全、评审或公正性的情况下，</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有权单方面推迟或取消部分或全部的比赛。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八</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保留进一步补充本比赛规程的权利。如参赛者对此有异议，可选择退出大赛，并应及时通知</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，但无权要求</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返还因参赛发生的任何费用。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九</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不承担因参赛作品所致的包括但不限于肖像权、名誉权、隐私权、著作权、商标权等纠纷而产生的法律责任。</w:t>
      </w:r>
    </w:p>
    <w:sectPr>
      <w:pgSz w:w="11906" w:h="16838"/>
      <w:pgMar w:top="1440" w:right="1800" w:bottom="1440" w:left="1800" w:header="851" w:footer="992" w:gutter="0"/>
      <w:cols w:space="425" w:num="1"/>
      <w:docGrid w:type="lines" w:linePitch="312" w:charSpace="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23FE"/>
    <w:rsid w:val="5166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2021-04-22T06:34:00Z</dcterms:created>
  <dc:creator>西政梓凌</dc:creator>
  <cp:lastModifiedBy>西政梓凌</cp:lastModifiedBy>
  <dcterms:modified xsi:type="dcterms:W3CDTF">2021-04-22T06:38:52Z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4862B0DF3C8A49E48CB0C0AE1609B523</vt:lpwstr>
  </property>
</Properties>
</file>