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“青年红色筑梦之旅”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赛道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一、参赛方式和要求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参加“青年红色筑梦之旅”赛道的项目应符合大赛参赛项目要求，同时在推进革命老区、贫困地区、城乡社区经济社会发展等方面有创新性、实效性和可持续性。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以团队为单位报名参赛。允许跨校组建团队，每个团队的参赛成员不少于3人，原则上不多于15人（含团队负责人），须为项目的实际核心成员。参赛团队所报参赛创业项目，须为本团队策划或经营的项目，不得借用他人项目参赛。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.参赛申报人须为团队负责人，须为南京中医药大学在校生（可为本专科生、研究生，不含在职生），或毕业5年以内的毕业生（201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年之后毕业的本专科生、研究生，不含在职生）。企业法人代表在大赛通知发布之日后进行变更的不予认可。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4.已获往届中国“互联网+”大学生创新创业大赛全国总决赛各赛道金奖和银奖项目，不可报名参加本届大赛。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5.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没有参加本届“青年红色筑梦之旅”活动的项目不得参加“青年红色筑梦之旅”赛道比赛。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二、参赛组别和对象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根据项目性质和特点，分为公益组、商业组。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1.公益组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（1）参赛项目以社会价值为导向，在公益服务领域具有较好的创意、产品或服务模式的创业计划和实践。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（2）参赛申报主体为独立的公益项目或者社会组织，注册或未注册成立公益机构（或社会组织）的项目均可参赛。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（3）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师生共创的公益项目，若符合“青年红色筑梦之旅”赛道要求，可以参加该组。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 xml:space="preserve">2.商业组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（1）参赛项目以商业手段解决农业农村和城乡社区发展的痛点问题、助力精准扶贫和乡村振兴，实现经济价值和社会价值的融合。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（2）注册或未注册成立公司的项目均可参赛。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已完成工商登记注册参赛项目的股权结构中，企业法人代表的股权不得少于10%，参赛成员股权合计不得少于1/3。如已注册成立机构或公司，学生须为法人代表。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（3）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eastAsia="zh-CN"/>
        </w:rPr>
        <w:t>师生共创的商业项目不能参加“青年红色筑梦之旅”赛道，可参加高教主赛道。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2021-01-15T01:33:00Z</dcterms:created>
  <dc:creator>wumin</dc:creator>
  <cp:lastModifiedBy>wumin</cp:lastModifiedBy>
  <dcterms:modified xsi:type="dcterms:W3CDTF">2021-01-15T03:30:16Z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